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950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0"/>
        <w:gridCol w:w="4674"/>
      </w:tblGrid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rPr>
                <w:rFonts w:asciiTheme="minorHAnsi" w:hAnsiTheme="minorHAnsi" w:cs="Helvetica-Bold~1496"/>
                <w:b/>
                <w:bCs/>
                <w:sz w:val="24"/>
                <w:szCs w:val="24"/>
                <w:lang w:val="en-US"/>
              </w:rPr>
            </w:pPr>
            <w:r w:rsidRPr="00E26444"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  <w:t>Breach of Contract—Introduction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spacing w:before="120"/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</w:pPr>
            <w:r w:rsidRPr="00E26444"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  <w:t>Directions for Use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spacing w:before="120"/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This instruction </w:t>
            </w:r>
            <w:proofErr w:type="gramStart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is designed</w:t>
            </w:r>
            <w:proofErr w:type="gramEnd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to introduce the jury to the issues involved in the case.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It </w:t>
            </w:r>
            <w:proofErr w:type="gramStart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should be read</w:t>
            </w:r>
            <w:proofErr w:type="gramEnd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before the instructions on the substantive law.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spacing w:before="120"/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</w:pPr>
            <w:r w:rsidRPr="00E26444"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  <w:t>Sources and Authority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autoSpaceDE w:val="0"/>
              <w:autoSpaceDN w:val="0"/>
              <w:adjustRightInd w:val="0"/>
              <w:spacing w:before="120"/>
              <w:rPr>
                <w:rFonts w:ascii="Helvetica-Bold~1496" w:hAnsi="Helvetica-Bold~1496" w:cs="Helvetica-Bold~1496"/>
                <w:b/>
                <w:bCs/>
                <w:sz w:val="24"/>
                <w:szCs w:val="24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The Supreme Court has </w:t>
            </w:r>
            <w:proofErr w:type="gramStart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observed that</w:t>
            </w:r>
            <w:proofErr w:type="gramEnd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“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c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ontract and tort are different branches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of law. Contract law exists to enforce legally binding agreements between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parties; tort law is designed to vindicate social policy.”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“The differences between contract and tort give rise to distinctions in assessing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damages and in evaluating underlying motives for particular courses of conduct.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…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Certain defenses </w:t>
            </w:r>
            <w:proofErr w:type="gramStart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are decided</w:t>
            </w:r>
            <w:proofErr w:type="gramEnd"/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as questions of law, not as questions of fact. These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defenses include frustration of purpose, impossibility, and impracticability.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“Defendant contends that frustration is a question of fact resolved in its favor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by the trial court. The excuse of frustration, however, </w:t>
            </w:r>
            <w:r w:rsidRPr="00E26444">
              <w:rPr>
                <w:rFonts w:ascii="Times-Italic~1497" w:hAnsi="Times-Italic~1497" w:cs="Times-Italic~1497"/>
                <w:i/>
                <w:iCs/>
                <w:sz w:val="22"/>
                <w:szCs w:val="22"/>
                <w:lang w:val="en-US"/>
              </w:rPr>
              <w:t>like that of impossibility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,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is a conclusion of law drawn by the court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from the facts of a given case…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</w:p>
        </w:tc>
      </w:tr>
      <w:tr w:rsidR="00E26444" w:rsidRPr="00E26444" w:rsidTr="00E26444">
        <w:trPr>
          <w:cantSplit/>
        </w:trPr>
        <w:tc>
          <w:tcPr>
            <w:tcW w:w="4719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Estoppel is a “nonjury fact question to be determined by the trial court in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 xml:space="preserve"> </w:t>
            </w:r>
            <w:r w:rsidRPr="00E26444">
              <w:rPr>
                <w:rFonts w:ascii="Times-Roman~1499" w:hAnsi="Times-Roman~1499" w:cs="Times-Roman~1499"/>
                <w:sz w:val="22"/>
                <w:szCs w:val="22"/>
                <w:lang w:val="en-US"/>
              </w:rPr>
              <w:t>accordance with applicable law.”</w:t>
            </w:r>
          </w:p>
        </w:tc>
        <w:tc>
          <w:tcPr>
            <w:tcW w:w="4692" w:type="dxa"/>
          </w:tcPr>
          <w:p w:rsidR="00E26444" w:rsidRPr="00E26444" w:rsidRDefault="00E26444" w:rsidP="009B68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Times-Roman~1499" w:hAnsi="Times-Roman~1499" w:cs="Times-Roman~1499"/>
                <w:sz w:val="22"/>
                <w:szCs w:val="22"/>
                <w:lang w:val="en-US"/>
              </w:rPr>
            </w:pPr>
          </w:p>
        </w:tc>
      </w:tr>
    </w:tbl>
    <w:p w:rsidR="00B96F02" w:rsidRPr="00B96F02" w:rsidRDefault="00B96F02" w:rsidP="00B96F02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sectPr w:rsidR="00B96F02" w:rsidRPr="00B96F02" w:rsidSect="00B4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~149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~14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~149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E2F78"/>
    <w:multiLevelType w:val="hybridMultilevel"/>
    <w:tmpl w:val="839E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6F02"/>
    <w:rsid w:val="001C7496"/>
    <w:rsid w:val="002622DD"/>
    <w:rsid w:val="002776B3"/>
    <w:rsid w:val="002A23E2"/>
    <w:rsid w:val="002A5B23"/>
    <w:rsid w:val="00376060"/>
    <w:rsid w:val="003A0CC5"/>
    <w:rsid w:val="00441534"/>
    <w:rsid w:val="00491B10"/>
    <w:rsid w:val="004A136E"/>
    <w:rsid w:val="00502F78"/>
    <w:rsid w:val="0062509D"/>
    <w:rsid w:val="00660E3C"/>
    <w:rsid w:val="0068121C"/>
    <w:rsid w:val="006938D0"/>
    <w:rsid w:val="00773FE1"/>
    <w:rsid w:val="0082258D"/>
    <w:rsid w:val="0087187C"/>
    <w:rsid w:val="0088452B"/>
    <w:rsid w:val="0097798B"/>
    <w:rsid w:val="00AB404C"/>
    <w:rsid w:val="00B10545"/>
    <w:rsid w:val="00B43F6E"/>
    <w:rsid w:val="00B77626"/>
    <w:rsid w:val="00B96F02"/>
    <w:rsid w:val="00BE5D41"/>
    <w:rsid w:val="00C90F61"/>
    <w:rsid w:val="00CB45D9"/>
    <w:rsid w:val="00CD3590"/>
    <w:rsid w:val="00DD7A18"/>
    <w:rsid w:val="00E26444"/>
    <w:rsid w:val="00EA7D34"/>
    <w:rsid w:val="00F10247"/>
    <w:rsid w:val="00FB48ED"/>
    <w:rsid w:val="00FD1AD9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A09F-2F0C-4D77-8B8D-3B5180B5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02"/>
    <w:pPr>
      <w:ind w:left="720"/>
      <w:contextualSpacing/>
    </w:pPr>
  </w:style>
  <w:style w:type="table" w:styleId="a4">
    <w:name w:val="Table Grid"/>
    <w:basedOn w:val="a1"/>
    <w:uiPriority w:val="59"/>
    <w:rsid w:val="00E2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949</Characters>
  <Application>Microsoft Office Word</Application>
  <DocSecurity>0</DocSecurity>
  <Lines>23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Menadzhiev</dc:creator>
  <cp:keywords/>
  <dc:description/>
  <cp:lastModifiedBy>Igor Menadzhiev</cp:lastModifiedBy>
  <cp:revision>2</cp:revision>
  <dcterms:created xsi:type="dcterms:W3CDTF">2016-03-30T07:37:00Z</dcterms:created>
  <dcterms:modified xsi:type="dcterms:W3CDTF">2016-03-30T07:48:00Z</dcterms:modified>
</cp:coreProperties>
</file>